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D" w:rsidRDefault="0048742E" w:rsidP="00EE22C8">
      <w:pPr>
        <w:spacing w:after="0" w:line="240" w:lineRule="auto"/>
        <w:jc w:val="center"/>
        <w:rPr>
          <w:rFonts w:ascii="Arial" w:hAnsi="Arial" w:cs="Arial"/>
          <w:b/>
          <w:sz w:val="28"/>
          <w:szCs w:val="28"/>
        </w:rPr>
      </w:pPr>
      <w:r w:rsidRPr="00EE22C8">
        <w:rPr>
          <w:rFonts w:ascii="Arial" w:hAnsi="Arial" w:cs="Arial"/>
          <w:b/>
          <w:i/>
          <w:sz w:val="28"/>
          <w:szCs w:val="28"/>
        </w:rPr>
        <w:t>N</w:t>
      </w:r>
      <w:r>
        <w:rPr>
          <w:rFonts w:ascii="Arial" w:hAnsi="Arial" w:cs="Arial"/>
          <w:b/>
          <w:sz w:val="28"/>
          <w:szCs w:val="28"/>
        </w:rPr>
        <w:t>-a</w:t>
      </w:r>
      <w:r w:rsidR="00EA5E8A" w:rsidRPr="00EA5E8A">
        <w:rPr>
          <w:rFonts w:ascii="Arial" w:hAnsi="Arial" w:cs="Arial"/>
          <w:b/>
          <w:sz w:val="28"/>
          <w:szCs w:val="28"/>
        </w:rPr>
        <w:t>cetylcysteine Pharmacotherapy for Cannabis Use Disorder</w:t>
      </w:r>
    </w:p>
    <w:p w:rsidR="00EA5E8A" w:rsidRDefault="00EA5E8A" w:rsidP="00EE22C8">
      <w:pPr>
        <w:spacing w:after="0" w:line="240" w:lineRule="auto"/>
        <w:rPr>
          <w:rFonts w:ascii="Arial" w:hAnsi="Arial" w:cs="Arial"/>
          <w:sz w:val="24"/>
          <w:szCs w:val="24"/>
        </w:rPr>
      </w:pPr>
    </w:p>
    <w:p w:rsidR="00101D03" w:rsidRDefault="00101D03" w:rsidP="00EE22C8">
      <w:pPr>
        <w:spacing w:after="0" w:line="240" w:lineRule="auto"/>
        <w:rPr>
          <w:rFonts w:ascii="Arial" w:hAnsi="Arial" w:cs="Arial"/>
          <w:sz w:val="24"/>
          <w:szCs w:val="24"/>
        </w:rPr>
      </w:pPr>
    </w:p>
    <w:p w:rsidR="00EC255C" w:rsidRDefault="00EA5E8A" w:rsidP="00EE22C8">
      <w:pPr>
        <w:spacing w:after="0" w:line="240" w:lineRule="auto"/>
        <w:rPr>
          <w:rFonts w:ascii="Arial" w:hAnsi="Arial" w:cs="Arial"/>
          <w:sz w:val="24"/>
          <w:szCs w:val="24"/>
        </w:rPr>
      </w:pPr>
      <w:r w:rsidRPr="00EC255C">
        <w:rPr>
          <w:rFonts w:ascii="Arial" w:hAnsi="Arial" w:cs="Arial"/>
          <w:b/>
          <w:sz w:val="24"/>
          <w:szCs w:val="24"/>
        </w:rPr>
        <w:t>Mechanism:</w:t>
      </w:r>
      <w:r w:rsidR="00EC255C">
        <w:rPr>
          <w:rFonts w:ascii="Arial" w:hAnsi="Arial" w:cs="Arial"/>
          <w:sz w:val="24"/>
          <w:szCs w:val="24"/>
        </w:rPr>
        <w:t xml:space="preserve"> </w:t>
      </w:r>
      <w:r w:rsidR="00EC255C" w:rsidRPr="00EE22C8">
        <w:rPr>
          <w:rFonts w:ascii="Arial" w:hAnsi="Arial" w:cs="Arial"/>
          <w:i/>
          <w:sz w:val="24"/>
          <w:szCs w:val="24"/>
        </w:rPr>
        <w:t>N</w:t>
      </w:r>
      <w:r w:rsidR="00EC255C">
        <w:rPr>
          <w:rFonts w:ascii="Arial" w:hAnsi="Arial" w:cs="Arial"/>
          <w:sz w:val="24"/>
          <w:szCs w:val="24"/>
        </w:rPr>
        <w:t xml:space="preserve">-acetylcysteine (NAC) is an antioxidant that may affect drug use via glutamate modulation.  NAC restores the </w:t>
      </w:r>
      <w:r w:rsidR="0051236F">
        <w:rPr>
          <w:rFonts w:ascii="Arial" w:hAnsi="Arial" w:cs="Arial"/>
          <w:sz w:val="24"/>
          <w:szCs w:val="24"/>
        </w:rPr>
        <w:t>cyst</w:t>
      </w:r>
      <w:r w:rsidR="00EC255C">
        <w:rPr>
          <w:rFonts w:ascii="Arial" w:hAnsi="Arial" w:cs="Arial"/>
          <w:sz w:val="24"/>
          <w:szCs w:val="24"/>
        </w:rPr>
        <w:t>ine-glutamate exchanger in the nucleus accumbens after the exchanger is down-regulated by chronic drug use.</w:t>
      </w:r>
    </w:p>
    <w:p w:rsidR="00101D03" w:rsidRDefault="00101D03" w:rsidP="00EE22C8">
      <w:pPr>
        <w:spacing w:after="0" w:line="240" w:lineRule="auto"/>
        <w:rPr>
          <w:rFonts w:ascii="Arial" w:hAnsi="Arial" w:cs="Arial"/>
          <w:sz w:val="24"/>
          <w:szCs w:val="24"/>
        </w:rPr>
      </w:pPr>
    </w:p>
    <w:p w:rsidR="00EA5E8A" w:rsidRDefault="00EC255C" w:rsidP="00EE22C8">
      <w:pPr>
        <w:spacing w:after="0" w:line="240" w:lineRule="auto"/>
        <w:rPr>
          <w:rFonts w:ascii="Arial" w:hAnsi="Arial" w:cs="Arial"/>
          <w:sz w:val="24"/>
          <w:szCs w:val="24"/>
        </w:rPr>
      </w:pPr>
      <w:r w:rsidRPr="00EC255C">
        <w:rPr>
          <w:rFonts w:ascii="Arial" w:hAnsi="Arial" w:cs="Arial"/>
          <w:b/>
          <w:sz w:val="24"/>
          <w:szCs w:val="24"/>
        </w:rPr>
        <w:t>Evidence:</w:t>
      </w:r>
      <w:r>
        <w:rPr>
          <w:rFonts w:ascii="Arial" w:hAnsi="Arial" w:cs="Arial"/>
          <w:sz w:val="24"/>
          <w:szCs w:val="24"/>
        </w:rPr>
        <w:t xml:space="preserve">  In an 8-week randomized controlled trial of 116 adolescents with cannabis use disorder, NAC 1200 mg twice daily added to contingency management and brief counseling resulted in 2.4 times greater likelihood of producing THC-negative urines than placebo (Gray et al. 2012).</w:t>
      </w:r>
    </w:p>
    <w:p w:rsidR="00101D03" w:rsidRDefault="00101D03" w:rsidP="00EE22C8">
      <w:pPr>
        <w:spacing w:after="0" w:line="240" w:lineRule="auto"/>
        <w:rPr>
          <w:rFonts w:ascii="Arial" w:hAnsi="Arial" w:cs="Arial"/>
          <w:sz w:val="24"/>
          <w:szCs w:val="24"/>
        </w:rPr>
      </w:pPr>
    </w:p>
    <w:p w:rsidR="00EA5E8A" w:rsidRPr="00EC255C" w:rsidRDefault="00EA5E8A" w:rsidP="00EE22C8">
      <w:pPr>
        <w:spacing w:after="0" w:line="240" w:lineRule="auto"/>
        <w:rPr>
          <w:rFonts w:ascii="Arial" w:hAnsi="Arial" w:cs="Arial"/>
          <w:b/>
          <w:sz w:val="24"/>
          <w:szCs w:val="24"/>
        </w:rPr>
      </w:pPr>
      <w:r w:rsidRPr="00EC255C">
        <w:rPr>
          <w:rFonts w:ascii="Arial" w:hAnsi="Arial" w:cs="Arial"/>
          <w:b/>
          <w:sz w:val="24"/>
          <w:szCs w:val="24"/>
        </w:rPr>
        <w:t>Formulations:</w:t>
      </w:r>
    </w:p>
    <w:p w:rsidR="00EA5E8A" w:rsidRDefault="00EA5E8A" w:rsidP="00EE22C8">
      <w:pPr>
        <w:spacing w:after="0" w:line="240" w:lineRule="auto"/>
        <w:rPr>
          <w:rFonts w:ascii="Arial" w:hAnsi="Arial" w:cs="Arial"/>
          <w:i/>
          <w:sz w:val="24"/>
          <w:szCs w:val="24"/>
        </w:rPr>
      </w:pPr>
      <w:r>
        <w:rPr>
          <w:rFonts w:ascii="Arial" w:hAnsi="Arial" w:cs="Arial"/>
          <w:i/>
          <w:sz w:val="24"/>
          <w:szCs w:val="24"/>
        </w:rPr>
        <w:t>Over the counter</w:t>
      </w:r>
    </w:p>
    <w:p w:rsidR="00EA5E8A" w:rsidRDefault="00EA5E8A" w:rsidP="00EE22C8">
      <w:pPr>
        <w:spacing w:after="0" w:line="240" w:lineRule="auto"/>
        <w:rPr>
          <w:rFonts w:ascii="Arial" w:hAnsi="Arial" w:cs="Arial"/>
          <w:sz w:val="24"/>
          <w:szCs w:val="24"/>
        </w:rPr>
      </w:pPr>
      <w:r>
        <w:rPr>
          <w:rFonts w:ascii="Arial" w:hAnsi="Arial" w:cs="Arial"/>
          <w:sz w:val="24"/>
          <w:szCs w:val="24"/>
        </w:rPr>
        <w:t>NAC 600 (GNC): 600 mg capsules</w:t>
      </w:r>
    </w:p>
    <w:p w:rsidR="008166D1" w:rsidRDefault="008166D1" w:rsidP="00EE22C8">
      <w:pPr>
        <w:spacing w:after="0" w:line="240" w:lineRule="auto"/>
        <w:rPr>
          <w:rFonts w:ascii="Arial" w:hAnsi="Arial" w:cs="Arial"/>
          <w:sz w:val="24"/>
          <w:szCs w:val="24"/>
        </w:rPr>
      </w:pPr>
      <w:r>
        <w:rPr>
          <w:rFonts w:ascii="Arial" w:hAnsi="Arial" w:cs="Arial"/>
          <w:sz w:val="24"/>
          <w:szCs w:val="24"/>
        </w:rPr>
        <w:t>Ajipure NAC (Ajinomoto Pharmaceuticals): 600 mg capsules</w:t>
      </w:r>
    </w:p>
    <w:p w:rsidR="008166D1" w:rsidRDefault="008166D1" w:rsidP="00EE22C8">
      <w:pPr>
        <w:spacing w:after="0" w:line="240" w:lineRule="auto"/>
        <w:rPr>
          <w:rFonts w:ascii="Arial" w:hAnsi="Arial" w:cs="Arial"/>
          <w:sz w:val="24"/>
          <w:szCs w:val="24"/>
        </w:rPr>
      </w:pPr>
      <w:r>
        <w:rPr>
          <w:rFonts w:ascii="Arial" w:hAnsi="Arial" w:cs="Arial"/>
          <w:sz w:val="24"/>
          <w:szCs w:val="24"/>
        </w:rPr>
        <w:t>PharmaNAC (BioAdvantex): 900 mg effervescent tablets</w:t>
      </w:r>
    </w:p>
    <w:p w:rsidR="00101D03" w:rsidRDefault="00101D03" w:rsidP="00EE22C8">
      <w:pPr>
        <w:spacing w:after="0" w:line="240" w:lineRule="auto"/>
        <w:rPr>
          <w:rFonts w:ascii="Arial" w:hAnsi="Arial" w:cs="Arial"/>
          <w:sz w:val="24"/>
          <w:szCs w:val="24"/>
        </w:rPr>
      </w:pPr>
    </w:p>
    <w:p w:rsidR="008166D1" w:rsidRDefault="008166D1" w:rsidP="00EE22C8">
      <w:pPr>
        <w:spacing w:after="0" w:line="240" w:lineRule="auto"/>
        <w:rPr>
          <w:rFonts w:ascii="Arial" w:hAnsi="Arial" w:cs="Arial"/>
          <w:sz w:val="24"/>
          <w:szCs w:val="24"/>
        </w:rPr>
      </w:pPr>
      <w:r>
        <w:rPr>
          <w:rFonts w:ascii="Arial" w:hAnsi="Arial" w:cs="Arial"/>
          <w:sz w:val="24"/>
          <w:szCs w:val="24"/>
        </w:rPr>
        <w:t xml:space="preserve">Note: </w:t>
      </w:r>
      <w:r w:rsidRPr="00EE22C8">
        <w:rPr>
          <w:rFonts w:ascii="Arial" w:hAnsi="Arial" w:cs="Arial"/>
          <w:i/>
          <w:sz w:val="24"/>
          <w:szCs w:val="24"/>
        </w:rPr>
        <w:t>N</w:t>
      </w:r>
      <w:r>
        <w:rPr>
          <w:rFonts w:ascii="Arial" w:hAnsi="Arial" w:cs="Arial"/>
          <w:sz w:val="24"/>
          <w:szCs w:val="24"/>
        </w:rPr>
        <w:t>-acetylcysteine is also available as Mucomyst (Bristol-Myers Squibb), 10</w:t>
      </w:r>
      <w:r w:rsidR="00CC18CF">
        <w:rPr>
          <w:rFonts w:ascii="Arial" w:hAnsi="Arial" w:cs="Arial"/>
          <w:sz w:val="24"/>
          <w:szCs w:val="24"/>
        </w:rPr>
        <w:t xml:space="preserve"> or 20% solution for inhalation and Acetadote (Cumberland Pharmaceuticals) 20% sterile solution for injection.  These formulations are indicated for the treatment of acetaminophen overdose.  The</w:t>
      </w:r>
      <w:r>
        <w:rPr>
          <w:rFonts w:ascii="Arial" w:hAnsi="Arial" w:cs="Arial"/>
          <w:sz w:val="24"/>
          <w:szCs w:val="24"/>
        </w:rPr>
        <w:t>s</w:t>
      </w:r>
      <w:r w:rsidR="00CC18CF">
        <w:rPr>
          <w:rFonts w:ascii="Arial" w:hAnsi="Arial" w:cs="Arial"/>
          <w:sz w:val="24"/>
          <w:szCs w:val="24"/>
        </w:rPr>
        <w:t>e are</w:t>
      </w:r>
      <w:r>
        <w:rPr>
          <w:rFonts w:ascii="Arial" w:hAnsi="Arial" w:cs="Arial"/>
          <w:sz w:val="24"/>
          <w:szCs w:val="24"/>
        </w:rPr>
        <w:t xml:space="preserve"> not the recommended formulation for use as pharmacotherapy for cannabis use disorder</w:t>
      </w:r>
      <w:r w:rsidR="00101D03">
        <w:rPr>
          <w:rFonts w:ascii="Arial" w:hAnsi="Arial" w:cs="Arial"/>
          <w:sz w:val="24"/>
          <w:szCs w:val="24"/>
        </w:rPr>
        <w:t>.</w:t>
      </w:r>
    </w:p>
    <w:p w:rsidR="00101D03" w:rsidRPr="00EA5E8A" w:rsidRDefault="00101D03" w:rsidP="00EE22C8">
      <w:pPr>
        <w:spacing w:after="0" w:line="240" w:lineRule="auto"/>
        <w:rPr>
          <w:rFonts w:ascii="Arial" w:hAnsi="Arial" w:cs="Arial"/>
          <w:sz w:val="24"/>
          <w:szCs w:val="24"/>
        </w:rPr>
      </w:pPr>
    </w:p>
    <w:p w:rsidR="00EA5E8A" w:rsidRDefault="00EA5E8A" w:rsidP="00EE22C8">
      <w:pPr>
        <w:spacing w:after="0" w:line="240" w:lineRule="auto"/>
        <w:rPr>
          <w:rFonts w:ascii="Arial" w:hAnsi="Arial" w:cs="Arial"/>
          <w:sz w:val="24"/>
          <w:szCs w:val="24"/>
        </w:rPr>
      </w:pPr>
      <w:r w:rsidRPr="00EC255C">
        <w:rPr>
          <w:rFonts w:ascii="Arial" w:hAnsi="Arial" w:cs="Arial"/>
          <w:b/>
          <w:sz w:val="24"/>
          <w:szCs w:val="24"/>
        </w:rPr>
        <w:t>Dosing:</w:t>
      </w:r>
      <w:r w:rsidR="00EC255C">
        <w:rPr>
          <w:rFonts w:ascii="Arial" w:hAnsi="Arial" w:cs="Arial"/>
          <w:sz w:val="24"/>
          <w:szCs w:val="24"/>
        </w:rPr>
        <w:t xml:space="preserve"> 1200 mg twice daily, no titration necessary.</w:t>
      </w:r>
    </w:p>
    <w:p w:rsidR="00101D03" w:rsidRDefault="00101D03" w:rsidP="00EE22C8">
      <w:pPr>
        <w:spacing w:after="0" w:line="240" w:lineRule="auto"/>
        <w:rPr>
          <w:rFonts w:ascii="Arial" w:hAnsi="Arial" w:cs="Arial"/>
          <w:sz w:val="24"/>
          <w:szCs w:val="24"/>
        </w:rPr>
      </w:pPr>
    </w:p>
    <w:p w:rsidR="00EA5E8A" w:rsidRDefault="00EA5E8A" w:rsidP="00EE22C8">
      <w:pPr>
        <w:spacing w:after="0" w:line="240" w:lineRule="auto"/>
        <w:rPr>
          <w:rFonts w:ascii="Arial" w:hAnsi="Arial" w:cs="Arial"/>
          <w:sz w:val="24"/>
          <w:szCs w:val="24"/>
        </w:rPr>
      </w:pPr>
      <w:r w:rsidRPr="00EC255C">
        <w:rPr>
          <w:rFonts w:ascii="Arial" w:hAnsi="Arial" w:cs="Arial"/>
          <w:b/>
          <w:sz w:val="24"/>
          <w:szCs w:val="24"/>
        </w:rPr>
        <w:t>Side Effects:</w:t>
      </w:r>
      <w:r w:rsidR="003907AB">
        <w:rPr>
          <w:rFonts w:ascii="Arial" w:hAnsi="Arial" w:cs="Arial"/>
          <w:sz w:val="24"/>
          <w:szCs w:val="24"/>
        </w:rPr>
        <w:t xml:space="preserve"> Mild side effects may include drowsiness, nausea, vomiting, sore mouth, runny nose, clamminess</w:t>
      </w:r>
      <w:r w:rsidR="002E3500">
        <w:rPr>
          <w:rFonts w:ascii="Arial" w:hAnsi="Arial" w:cs="Arial"/>
          <w:sz w:val="24"/>
          <w:szCs w:val="24"/>
        </w:rPr>
        <w:t>,</w:t>
      </w:r>
      <w:r w:rsidR="003907AB">
        <w:rPr>
          <w:rFonts w:ascii="Arial" w:hAnsi="Arial" w:cs="Arial"/>
          <w:sz w:val="24"/>
          <w:szCs w:val="24"/>
        </w:rPr>
        <w:t xml:space="preserve"> fever</w:t>
      </w:r>
      <w:r w:rsidR="002E3500">
        <w:rPr>
          <w:rFonts w:ascii="Arial" w:hAnsi="Arial" w:cs="Arial"/>
          <w:sz w:val="24"/>
          <w:szCs w:val="24"/>
        </w:rPr>
        <w:t>, and GI upset</w:t>
      </w:r>
      <w:r w:rsidR="003907AB">
        <w:rPr>
          <w:rFonts w:ascii="Arial" w:hAnsi="Arial" w:cs="Arial"/>
          <w:sz w:val="24"/>
          <w:szCs w:val="24"/>
        </w:rPr>
        <w:t>.  Rare serious side effects include bronchoconstriction and chest tightness</w:t>
      </w:r>
      <w:r w:rsidR="002E3500">
        <w:rPr>
          <w:rFonts w:ascii="Arial" w:hAnsi="Arial" w:cs="Arial"/>
          <w:sz w:val="24"/>
          <w:szCs w:val="24"/>
        </w:rPr>
        <w:t xml:space="preserve"> (most likely from nebulized form)</w:t>
      </w:r>
      <w:r w:rsidR="003907AB">
        <w:rPr>
          <w:rFonts w:ascii="Arial" w:hAnsi="Arial" w:cs="Arial"/>
          <w:sz w:val="24"/>
          <w:szCs w:val="24"/>
        </w:rPr>
        <w:t>.</w:t>
      </w:r>
    </w:p>
    <w:p w:rsidR="00101D03" w:rsidRDefault="00101D03" w:rsidP="00EE22C8">
      <w:pPr>
        <w:spacing w:after="0" w:line="240" w:lineRule="auto"/>
        <w:rPr>
          <w:rFonts w:ascii="Arial" w:hAnsi="Arial" w:cs="Arial"/>
          <w:sz w:val="24"/>
          <w:szCs w:val="24"/>
        </w:rPr>
      </w:pPr>
    </w:p>
    <w:p w:rsidR="00EA5E8A" w:rsidRDefault="00EC255C" w:rsidP="00EE22C8">
      <w:pPr>
        <w:spacing w:after="0" w:line="240" w:lineRule="auto"/>
        <w:rPr>
          <w:rFonts w:ascii="Arial" w:hAnsi="Arial" w:cs="Arial"/>
          <w:sz w:val="24"/>
          <w:szCs w:val="24"/>
        </w:rPr>
      </w:pPr>
      <w:r>
        <w:rPr>
          <w:rFonts w:ascii="Arial" w:hAnsi="Arial" w:cs="Arial"/>
          <w:b/>
          <w:sz w:val="24"/>
          <w:szCs w:val="24"/>
        </w:rPr>
        <w:t>Drug-drug I</w:t>
      </w:r>
      <w:r w:rsidR="00EA5E8A" w:rsidRPr="00EC255C">
        <w:rPr>
          <w:rFonts w:ascii="Arial" w:hAnsi="Arial" w:cs="Arial"/>
          <w:b/>
          <w:sz w:val="24"/>
          <w:szCs w:val="24"/>
        </w:rPr>
        <w:t>nteractions</w:t>
      </w:r>
      <w:r w:rsidR="003907AB" w:rsidRPr="00EC255C">
        <w:rPr>
          <w:rFonts w:ascii="Arial" w:hAnsi="Arial" w:cs="Arial"/>
          <w:b/>
          <w:sz w:val="24"/>
          <w:szCs w:val="24"/>
        </w:rPr>
        <w:t>:</w:t>
      </w:r>
      <w:r w:rsidR="003907AB">
        <w:rPr>
          <w:rFonts w:ascii="Arial" w:hAnsi="Arial" w:cs="Arial"/>
          <w:sz w:val="24"/>
          <w:szCs w:val="24"/>
        </w:rPr>
        <w:t xml:space="preserve"> None documented.</w:t>
      </w:r>
    </w:p>
    <w:p w:rsidR="00101D03" w:rsidRDefault="00101D03" w:rsidP="00EE22C8">
      <w:pPr>
        <w:spacing w:after="0" w:line="240" w:lineRule="auto"/>
        <w:rPr>
          <w:rFonts w:ascii="Arial" w:hAnsi="Arial" w:cs="Arial"/>
          <w:sz w:val="24"/>
          <w:szCs w:val="24"/>
        </w:rPr>
      </w:pPr>
    </w:p>
    <w:p w:rsidR="00EA5E8A" w:rsidRPr="00EC255C" w:rsidRDefault="00EA5E8A" w:rsidP="00EE22C8">
      <w:pPr>
        <w:spacing w:after="0" w:line="240" w:lineRule="auto"/>
        <w:rPr>
          <w:rFonts w:ascii="Arial" w:hAnsi="Arial" w:cs="Arial"/>
          <w:b/>
          <w:sz w:val="24"/>
          <w:szCs w:val="24"/>
        </w:rPr>
      </w:pPr>
      <w:r w:rsidRPr="00EC255C">
        <w:rPr>
          <w:rFonts w:ascii="Arial" w:hAnsi="Arial" w:cs="Arial"/>
          <w:b/>
          <w:sz w:val="24"/>
          <w:szCs w:val="24"/>
        </w:rPr>
        <w:t>References</w:t>
      </w:r>
      <w:r w:rsidR="003907AB" w:rsidRPr="00EC255C">
        <w:rPr>
          <w:rFonts w:ascii="Arial" w:hAnsi="Arial" w:cs="Arial"/>
          <w:b/>
          <w:sz w:val="24"/>
          <w:szCs w:val="24"/>
        </w:rPr>
        <w:t>:</w:t>
      </w:r>
    </w:p>
    <w:p w:rsidR="00EE22C8" w:rsidRDefault="00EE22C8" w:rsidP="00EE22C8">
      <w:pPr>
        <w:spacing w:after="0" w:line="240" w:lineRule="auto"/>
        <w:rPr>
          <w:rFonts w:ascii="Arial" w:hAnsi="Arial" w:cs="Arial"/>
          <w:sz w:val="24"/>
          <w:szCs w:val="24"/>
        </w:rPr>
      </w:pPr>
      <w:r>
        <w:rPr>
          <w:rFonts w:ascii="Arial" w:hAnsi="Arial" w:cs="Arial"/>
          <w:sz w:val="24"/>
          <w:szCs w:val="24"/>
        </w:rPr>
        <w:t xml:space="preserve">Gray KM, Carpenter MJ, Baker NL, et al. A double-blind randomized controlled trial of </w:t>
      </w:r>
      <w:r w:rsidRPr="00EE22C8">
        <w:rPr>
          <w:rFonts w:ascii="Arial" w:hAnsi="Arial" w:cs="Arial"/>
          <w:i/>
          <w:sz w:val="24"/>
          <w:szCs w:val="24"/>
        </w:rPr>
        <w:t>N</w:t>
      </w:r>
      <w:r>
        <w:rPr>
          <w:rFonts w:ascii="Arial" w:hAnsi="Arial" w:cs="Arial"/>
          <w:sz w:val="24"/>
          <w:szCs w:val="24"/>
        </w:rPr>
        <w:t xml:space="preserve">-acetylcysteine in cannabis-dependent adolescents. </w:t>
      </w:r>
      <w:r w:rsidRPr="00EE22C8">
        <w:rPr>
          <w:rFonts w:ascii="Arial" w:hAnsi="Arial" w:cs="Arial"/>
          <w:i/>
          <w:sz w:val="24"/>
          <w:szCs w:val="24"/>
        </w:rPr>
        <w:t>Am J Psychiatry</w:t>
      </w:r>
      <w:r>
        <w:rPr>
          <w:rFonts w:ascii="Arial" w:hAnsi="Arial" w:cs="Arial"/>
          <w:sz w:val="24"/>
          <w:szCs w:val="24"/>
        </w:rPr>
        <w:t xml:space="preserve"> 2012 169:805-812.</w:t>
      </w:r>
    </w:p>
    <w:p w:rsidR="003907AB" w:rsidRDefault="003907AB" w:rsidP="00EE22C8">
      <w:pPr>
        <w:spacing w:after="0" w:line="240" w:lineRule="auto"/>
        <w:rPr>
          <w:rFonts w:ascii="Arial" w:hAnsi="Arial" w:cs="Arial"/>
          <w:sz w:val="24"/>
          <w:szCs w:val="24"/>
        </w:rPr>
      </w:pPr>
      <w:r>
        <w:rPr>
          <w:rFonts w:ascii="Arial" w:hAnsi="Arial" w:cs="Arial"/>
          <w:sz w:val="24"/>
          <w:szCs w:val="24"/>
        </w:rPr>
        <w:t>Mucomyst® Prescribing Information. Bristol-Myers Squibb (Princeton, NJ), 2001.</w:t>
      </w:r>
    </w:p>
    <w:p w:rsidR="001F44BF" w:rsidRDefault="001F44BF" w:rsidP="00EE22C8">
      <w:pPr>
        <w:spacing w:after="0" w:line="240" w:lineRule="auto"/>
        <w:rPr>
          <w:rFonts w:ascii="Arial" w:hAnsi="Arial" w:cs="Arial"/>
          <w:sz w:val="24"/>
          <w:szCs w:val="24"/>
        </w:rPr>
      </w:pPr>
    </w:p>
    <w:p w:rsidR="001F44BF" w:rsidRDefault="001F44BF" w:rsidP="00EE22C8">
      <w:pPr>
        <w:spacing w:after="0" w:line="240" w:lineRule="auto"/>
        <w:rPr>
          <w:rFonts w:ascii="Arial" w:hAnsi="Arial" w:cs="Arial"/>
          <w:sz w:val="24"/>
          <w:szCs w:val="24"/>
        </w:rPr>
      </w:pPr>
    </w:p>
    <w:p w:rsidR="00EA5E8A" w:rsidRPr="00EA5E8A" w:rsidRDefault="00EA5E8A">
      <w:pPr>
        <w:rPr>
          <w:sz w:val="24"/>
          <w:szCs w:val="24"/>
        </w:rPr>
      </w:pPr>
      <w:bookmarkStart w:id="0" w:name="_GoBack"/>
      <w:bookmarkEnd w:id="0"/>
    </w:p>
    <w:sectPr w:rsidR="00EA5E8A" w:rsidRPr="00EA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8A"/>
    <w:rsid w:val="00101D03"/>
    <w:rsid w:val="001F44BF"/>
    <w:rsid w:val="00226C07"/>
    <w:rsid w:val="002E3500"/>
    <w:rsid w:val="003907AB"/>
    <w:rsid w:val="0048742E"/>
    <w:rsid w:val="0051236F"/>
    <w:rsid w:val="0057752C"/>
    <w:rsid w:val="00672175"/>
    <w:rsid w:val="007A148F"/>
    <w:rsid w:val="008166D1"/>
    <w:rsid w:val="00B92EFB"/>
    <w:rsid w:val="00CC18CF"/>
    <w:rsid w:val="00EA5E8A"/>
    <w:rsid w:val="00EC255C"/>
    <w:rsid w:val="00EE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1468</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khill</dc:creator>
  <cp:lastModifiedBy>Hill,Kevin ( HMFP - Psychiatry )</cp:lastModifiedBy>
  <cp:revision>3</cp:revision>
  <dcterms:created xsi:type="dcterms:W3CDTF">2015-01-02T19:16:00Z</dcterms:created>
  <dcterms:modified xsi:type="dcterms:W3CDTF">2017-11-14T14:26:00Z</dcterms:modified>
</cp:coreProperties>
</file>